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E20" w:rsidRDefault="00A90E20" w:rsidP="006803FC"/>
    <w:p w:rsidR="00A90E20" w:rsidRDefault="006803FC">
      <w:pPr>
        <w:jc w:val="center"/>
        <w:rPr>
          <w:b/>
          <w:bCs/>
          <w:caps/>
        </w:rPr>
      </w:pPr>
      <w:r>
        <w:rPr>
          <w:b/>
          <w:bCs/>
          <w:caps/>
        </w:rPr>
        <w:t>ARCHITEKTŪROS KOKYBĖS VERTINIMO METODIKOS TAIKYMO KUPIŠKIO RAJONO SAVIVALDYBĖS TERITORIJOJE GAIRĖS</w:t>
      </w:r>
    </w:p>
    <w:p w:rsidR="00A90E20" w:rsidRDefault="00A90E20">
      <w:pPr>
        <w:jc w:val="both"/>
        <w:rPr>
          <w:szCs w:val="24"/>
        </w:rPr>
      </w:pPr>
    </w:p>
    <w:p w:rsidR="00A90E20" w:rsidRDefault="006803FC">
      <w:pPr>
        <w:jc w:val="center"/>
        <w:rPr>
          <w:b/>
          <w:bCs/>
          <w:caps/>
          <w:szCs w:val="24"/>
        </w:rPr>
      </w:pPr>
      <w:r>
        <w:rPr>
          <w:b/>
          <w:bCs/>
          <w:caps/>
          <w:szCs w:val="24"/>
        </w:rPr>
        <w:t>I SKYRIUS</w:t>
      </w:r>
    </w:p>
    <w:p w:rsidR="00A90E20" w:rsidRDefault="006803FC">
      <w:pPr>
        <w:jc w:val="center"/>
        <w:rPr>
          <w:b/>
          <w:bCs/>
          <w:caps/>
          <w:szCs w:val="24"/>
        </w:rPr>
      </w:pPr>
      <w:r>
        <w:rPr>
          <w:b/>
          <w:bCs/>
          <w:caps/>
          <w:szCs w:val="24"/>
        </w:rPr>
        <w:t>BENDROSIOS NUOSTATOS</w:t>
      </w:r>
    </w:p>
    <w:p w:rsidR="00A90E20" w:rsidRDefault="00A90E20">
      <w:pPr>
        <w:jc w:val="both"/>
        <w:rPr>
          <w:szCs w:val="24"/>
        </w:rPr>
      </w:pPr>
    </w:p>
    <w:p w:rsidR="00A90E20" w:rsidRDefault="006803FC">
      <w:pPr>
        <w:tabs>
          <w:tab w:val="left" w:pos="567"/>
        </w:tabs>
        <w:ind w:firstLine="567"/>
        <w:jc w:val="both"/>
      </w:pPr>
      <w:r>
        <w:t xml:space="preserve">1. Architektūros kokybės vertinimo metodikos taikymo Kupiškio rajono savivaldybės teritorijoje gairės (toliau – Gairės) nustato architektūros kokybės vertinimo būdą ir priemones Kupiškio rajono savivaldybės teritorijoje. </w:t>
      </w:r>
    </w:p>
    <w:p w:rsidR="00A90E20" w:rsidRDefault="006803FC">
      <w:pPr>
        <w:tabs>
          <w:tab w:val="left" w:pos="567"/>
        </w:tabs>
        <w:ind w:firstLine="567"/>
        <w:jc w:val="both"/>
      </w:pPr>
      <w:r>
        <w:t xml:space="preserve">2. Gairėmis rekomenduojama vadovautis kolegialiai vertinant architektūros objektų (statinių, urbanistinių kompleksų ir kraštovaizdžio objektų) (toliau – objektas) kokybę Kupiškio rajono savivaldybės teritorijoje organizuojamuose architektūriniuose konkursuose, jomis vadovaujamasi rengiant ir vertinant teritorijų planavimo ir žemėtvarkos dokumentus, pastatų ir statinių, išorinės reklamos projektus, juos tikrinant Kupiškio rajono savivaldybės administracijoje, vykdant statinių naudojimo priežiūrą ir kitais atvejais, norint įvertinti architektūros objektų kokybę Kupiškio rajono savivaldybės teritorijoje. </w:t>
      </w:r>
    </w:p>
    <w:p w:rsidR="00A90E20" w:rsidRDefault="006803FC">
      <w:pPr>
        <w:tabs>
          <w:tab w:val="left" w:pos="567"/>
        </w:tabs>
        <w:ind w:firstLine="426"/>
        <w:jc w:val="both"/>
      </w:pPr>
      <w:r>
        <w:rPr>
          <w:szCs w:val="24"/>
        </w:rPr>
        <w:t xml:space="preserve">3. Gairėse vartojamos </w:t>
      </w:r>
      <w:r>
        <w:rPr>
          <w:spacing w:val="-4"/>
          <w:szCs w:val="24"/>
        </w:rPr>
        <w:t xml:space="preserve">sąvokos suprantamos taip, kaip jos apibrėžtos Architektūros, Lietuvos Respublikos statybos, Lietuvos Respublikos teritorijų planavimo ir Lietuvos Respublikos vietos savivaldos įstatymuose. </w:t>
      </w:r>
    </w:p>
    <w:p w:rsidR="00A90E20" w:rsidRDefault="00A90E20">
      <w:pPr>
        <w:jc w:val="center"/>
        <w:rPr>
          <w:szCs w:val="24"/>
        </w:rPr>
      </w:pPr>
    </w:p>
    <w:p w:rsidR="00A90E20" w:rsidRDefault="006803FC">
      <w:pPr>
        <w:jc w:val="center"/>
        <w:rPr>
          <w:b/>
          <w:caps/>
          <w:szCs w:val="24"/>
        </w:rPr>
      </w:pPr>
      <w:r>
        <w:rPr>
          <w:b/>
          <w:caps/>
          <w:szCs w:val="24"/>
        </w:rPr>
        <w:t>II SKYRIUS</w:t>
      </w:r>
    </w:p>
    <w:p w:rsidR="00A90E20" w:rsidRDefault="006803FC">
      <w:pPr>
        <w:jc w:val="center"/>
      </w:pPr>
      <w:r>
        <w:rPr>
          <w:b/>
          <w:bCs/>
          <w:caps/>
        </w:rPr>
        <w:t>ARCHITEKTŪROS KOKYBĖS VERTINIMO KUPIŠKIO RAJONO SAVIVALDYBĖS TERITORIJOJE TIKSLAS,</w:t>
      </w:r>
      <w:r>
        <w:rPr>
          <w:b/>
          <w:bCs/>
        </w:rPr>
        <w:t xml:space="preserve"> KRITERIJAI IR VERTINIMO BŪDAI</w:t>
      </w:r>
    </w:p>
    <w:p w:rsidR="00A90E20" w:rsidRDefault="00A90E20">
      <w:pPr>
        <w:jc w:val="both"/>
        <w:rPr>
          <w:szCs w:val="24"/>
        </w:rPr>
      </w:pPr>
    </w:p>
    <w:p w:rsidR="00A90E20" w:rsidRDefault="006803FC">
      <w:pPr>
        <w:ind w:firstLine="422"/>
        <w:jc w:val="both"/>
      </w:pPr>
      <w:r>
        <w:t xml:space="preserve">4. Architektūros kokybės vertinimo Kupiškio rajono savivaldybės teritorijoje tikslas – pagal Gairėse pateiktus vertinimo būdus ir priemones nustatyti objekto </w:t>
      </w:r>
      <w:r>
        <w:rPr>
          <w:rFonts w:eastAsia="Lucida Sans Unicode"/>
        </w:rPr>
        <w:t>atitiktį kriterijams, įvertinant</w:t>
      </w:r>
      <w:r>
        <w:t xml:space="preserve"> kiekvieno kriterijaus aspektus. </w:t>
      </w:r>
    </w:p>
    <w:p w:rsidR="00A90E20" w:rsidRDefault="006803FC">
      <w:pPr>
        <w:ind w:firstLine="434"/>
      </w:pPr>
      <w:r>
        <w:t>5. Kriterijai, jų reikšmės:</w:t>
      </w:r>
    </w:p>
    <w:p w:rsidR="00A90E20" w:rsidRDefault="006803FC">
      <w:pPr>
        <w:jc w:val="both"/>
      </w:pPr>
      <w:r>
        <w:t xml:space="preserve">    5.1. </w:t>
      </w:r>
      <w:r>
        <w:rPr>
          <w:b/>
          <w:bCs/>
        </w:rPr>
        <w:t>Atitiktis darnaus vystymosi principams</w:t>
      </w:r>
      <w:r>
        <w:t>. Kokybiška architektūra, prisidedanti prie darnios valstybės ir žmonių aplinkos kūrimo, yra svarbi ekonomikos ir socialinių santykių raidai, atsižvelgiant į darnaus ir tvaraus vystymosi iššūkius. Vertinimo aspektai – atsakingas išteklių naudojimas; gamtos gyvūnijos ir augmenijos) puoselėjimas; prisitaikymas prie klimato kaitos padarinių ir (ar) jų švelninimas.</w:t>
      </w:r>
    </w:p>
    <w:p w:rsidR="00A90E20" w:rsidRDefault="006803FC">
      <w:pPr>
        <w:ind w:firstLine="426"/>
        <w:jc w:val="both"/>
      </w:pPr>
      <w:r>
        <w:t>5.2.</w:t>
      </w:r>
      <w:r>
        <w:rPr>
          <w:b/>
          <w:bCs/>
        </w:rPr>
        <w:t xml:space="preserve"> Urbanistinis integralumas</w:t>
      </w:r>
      <w:r>
        <w:t xml:space="preserve">. </w:t>
      </w:r>
      <w:r>
        <w:rPr>
          <w:rFonts w:eastAsia="Calibri"/>
        </w:rPr>
        <w:t>Statinio, urbanistinio komplekso ir (ar) kraštovaizdžio</w:t>
      </w:r>
      <w:r>
        <w:t xml:space="preserve"> objekto darna su esama urbanistine struktūra ir poveikis kultūriniam kraštovaizdžiui. Vertinimo aspektai – darni integracija į urbanistinės vietovės plano struktūrą, užstatymą ir tūrinę erdvinę kompoziciją; kultūrinio kraštovaizdžio formavimas.</w:t>
      </w:r>
    </w:p>
    <w:p w:rsidR="00A90E20" w:rsidRDefault="006803FC">
      <w:pPr>
        <w:ind w:firstLine="426"/>
        <w:jc w:val="both"/>
      </w:pPr>
      <w:r>
        <w:t xml:space="preserve">5.3. </w:t>
      </w:r>
      <w:r>
        <w:rPr>
          <w:b/>
          <w:bCs/>
        </w:rPr>
        <w:t>Santykis su paveldėtomis vertėmis</w:t>
      </w:r>
      <w:r>
        <w:t>. Kultūros paveldo objektų ir kultūros paveldo vietovių saugojimas, statinio, urbanistinio komplekso ir (ar) kraštovaizdžio objekto santykis su urbanistinės vietovės ar objekto istorine urbanistine ir (ar) architektūrine raida, kraštovaizdžio vertybėmis. Vertinimo aspektai – vertingų ypatumų įvardijimas ir išsaugojimas; kultūros paveldo objektų saugojimas ir pritaikymas;  pertvarkymo mastas ir tikslingumas; autentiškumo puoselėjimas, vientisumo išlaikymas.</w:t>
      </w:r>
    </w:p>
    <w:p w:rsidR="00A90E20" w:rsidRDefault="006803FC">
      <w:pPr>
        <w:ind w:firstLine="426"/>
        <w:jc w:val="both"/>
      </w:pPr>
      <w:r>
        <w:t xml:space="preserve">5.4. </w:t>
      </w:r>
      <w:r>
        <w:rPr>
          <w:b/>
          <w:bCs/>
        </w:rPr>
        <w:t>Aplinka visiems</w:t>
      </w:r>
      <w:r>
        <w:t>. Aplinka be specialaus pritaikymo gali naudotis visos visuomenės grupės. Vertinimo aspektai – socialinis jautrumas ir atsakomybės skatinimas; objektų ir vietų pasiekiamumas; universalaus dizaino principų taikymas: visų žmonių lygybė, universalumas, paprastas ir intuityvus naudojimas, suvokiama ir juntama informacija, tolerancija asmens fizinėms  jėgoms, optimalus dydis ir erdvė.</w:t>
      </w:r>
    </w:p>
    <w:p w:rsidR="00A90E20" w:rsidRDefault="006803FC">
      <w:pPr>
        <w:ind w:firstLine="426"/>
        <w:jc w:val="both"/>
      </w:pPr>
      <w:r>
        <w:t>5.5.</w:t>
      </w:r>
      <w:r>
        <w:rPr>
          <w:b/>
          <w:bCs/>
        </w:rPr>
        <w:t xml:space="preserve"> Sprendinių ekonomiškumas. </w:t>
      </w:r>
      <w:r>
        <w:t xml:space="preserve">Planuojamų sprendinių atitiktis ilgalaikėms investicijoms, jų racionalumas užtikrinant efektyvų statinio gyvavimo ciklą, siekiant optimalaus kokybės ir kainos santykio. Vertinimo aspektai – numatomas statybos kokybiškumas; sąnaudų pagrįstumas; vietos vertės didinimas; esamos socialinės ir inžinerinės infrastruktūros panaudojimas, kūrimas; </w:t>
      </w:r>
      <w:r>
        <w:lastRenderedPageBreak/>
        <w:t>uždaras raidos ciklas (planavimas, projektavimas, statyba ir naudojimas) per objekto gyvavimo laiką.</w:t>
      </w:r>
    </w:p>
    <w:p w:rsidR="00A90E20" w:rsidRDefault="006803FC">
      <w:pPr>
        <w:ind w:firstLine="426"/>
        <w:jc w:val="both"/>
      </w:pPr>
      <w:r>
        <w:t xml:space="preserve">5.6. </w:t>
      </w:r>
      <w:r>
        <w:rPr>
          <w:b/>
          <w:bCs/>
        </w:rPr>
        <w:t xml:space="preserve">Inovatyvumas. </w:t>
      </w:r>
      <w:r>
        <w:t xml:space="preserve">Naujos originalios architektūrinių ir urbanistinių sprendimų idėjos siekiant tvarios statybos ir statinio gyvavimo ciklo, naudojant pažangias technologijas ir medžiagas, skatinant žiedinę ekonomiką, klimatą ir energiją tausojančias priemones, kuriant kokybišką aplinką visiems. Vertinimo aspektai – nauji architektūriniai, urbanistiniai ir (ar) kraštovaizdžio sprendiniai; naujų technologijų ir (ar) medžiagų panaudojimas; laikotarpio vertybių atspindėjimas. </w:t>
      </w:r>
    </w:p>
    <w:p w:rsidR="00A90E20" w:rsidRDefault="006803FC">
      <w:pPr>
        <w:ind w:firstLine="426"/>
        <w:jc w:val="both"/>
      </w:pPr>
      <w:r>
        <w:t xml:space="preserve">5.7. </w:t>
      </w:r>
      <w:r>
        <w:rPr>
          <w:b/>
          <w:bCs/>
        </w:rPr>
        <w:t xml:space="preserve">Funkcionali struktūra. </w:t>
      </w:r>
      <w:r>
        <w:rPr>
          <w:rFonts w:eastAsia="Calibri"/>
        </w:rPr>
        <w:t>Statinio, urbanistinio komplekso ir (ar) kraštovaizdžio</w:t>
      </w:r>
      <w:r>
        <w:t xml:space="preserve"> objekto atitiktis planuojamai funkcijai ir galimybė pritaikyti kintant funkcijoms. Vertinimo aspektai – gyvybingumo ir mišrios paskirties užtikrinimas; atitiktis numatytai funkcijai; galimybės prisitaikyti pakitus poreikiams.</w:t>
      </w:r>
    </w:p>
    <w:p w:rsidR="00A90E20" w:rsidRDefault="006803FC">
      <w:pPr>
        <w:ind w:firstLine="426"/>
        <w:jc w:val="both"/>
      </w:pPr>
      <w:r>
        <w:t xml:space="preserve">5.8. </w:t>
      </w:r>
      <w:r>
        <w:rPr>
          <w:b/>
          <w:bCs/>
        </w:rPr>
        <w:t>Vientisa architektūrinė idėja ir estetika</w:t>
      </w:r>
      <w:r>
        <w:t>. Nuosekliai suvokiama statinio, urbanistinio komplekso ir (ar) kraštovaizdžio objekto meninė išraiška. Vertinimo aspektai – architektūrinės idėjos buvimas ar nebuvimas ir jos vientisumas; meninis santykis su aplinka (kontrastas, atkartojimas ir t. t.); meninės raiškos priemonės (mastelis, proporcijos, ryšys tarp kuriamų elementų, medžiagiškumas, spalvos); šiuolaikiškumas.</w:t>
      </w:r>
    </w:p>
    <w:p w:rsidR="00A90E20" w:rsidRDefault="006803FC">
      <w:pPr>
        <w:ind w:firstLine="426"/>
        <w:jc w:val="both"/>
      </w:pPr>
      <w:r>
        <w:t>6. Vertinant objekto atitiktį konkrečiam architektūros kokybės kriterijui, įvertinamas kiekvienas architektūros kokybės kriterijaus</w:t>
      </w:r>
      <w:r>
        <w:rPr>
          <w:lang w:eastAsia="lt-LT"/>
        </w:rPr>
        <w:t xml:space="preserve"> aspektas pagal atsakymus į jam įvertinti skirtus Gairių  priedo lentelės klausimus – atitinka, iš dalies atitinka, neatitinka.</w:t>
      </w:r>
    </w:p>
    <w:p w:rsidR="00A90E20" w:rsidRDefault="006803FC">
      <w:pPr>
        <w:ind w:firstLine="426"/>
        <w:jc w:val="both"/>
        <w:rPr>
          <w:lang w:eastAsia="lt-LT"/>
        </w:rPr>
      </w:pPr>
      <w:r>
        <w:rPr>
          <w:lang w:eastAsia="lt-LT"/>
        </w:rPr>
        <w:t>6.1. jei vertinamas objektas neatitinka bent vieno architektūros kokybės vertinimo kriterijaus – projektui ar planui nepritariama dėl nustatyto esminio neatitikimo architektūros kokybės kriterijams. Siūloma pateikti alternatyvius sprendinius arba iš esmės keisti projektą ar planą.</w:t>
      </w:r>
    </w:p>
    <w:p w:rsidR="00A90E20" w:rsidRDefault="006803FC">
      <w:pPr>
        <w:ind w:firstLine="426"/>
        <w:jc w:val="both"/>
        <w:rPr>
          <w:lang w:eastAsia="lt-LT"/>
        </w:rPr>
      </w:pPr>
      <w:r>
        <w:rPr>
          <w:lang w:eastAsia="lt-LT"/>
        </w:rPr>
        <w:t>6.2. jei vertinamas objektas bent vieną architektūros kokybės vertinimo kriterijų atitinka tik iš dalies – projektui ar planui nepritariama dėl nustatyto dalinio neatitikimo architektūros kokybės kriterijams. Siūloma tikslinti ir tobulinti sprendinius arba projektą ar planą papildyti sprendinius pagrindžiančia informacija.</w:t>
      </w:r>
    </w:p>
    <w:p w:rsidR="00A90E20" w:rsidRDefault="006803FC">
      <w:pPr>
        <w:ind w:firstLine="426"/>
        <w:jc w:val="both"/>
        <w:rPr>
          <w:lang w:eastAsia="lt-LT"/>
        </w:rPr>
      </w:pPr>
      <w:r>
        <w:rPr>
          <w:lang w:eastAsia="lt-LT"/>
        </w:rPr>
        <w:t>6.3. jei vertinamas objektas atitinka visus architektūros vertinimo kriterijus, projektui ar planui pritariama.</w:t>
      </w:r>
    </w:p>
    <w:p w:rsidR="00A90E20" w:rsidRDefault="006803FC">
      <w:pPr>
        <w:ind w:firstLine="426"/>
        <w:jc w:val="both"/>
      </w:pPr>
      <w:r>
        <w:t xml:space="preserve">7. Vertinimo rezultatas turi būti motyvuotai pagrįstas (t. y. vertinimai gali būti grindžiami mokslinėmis doktrinomis, teisės aktų, normų reikalavimais, </w:t>
      </w:r>
      <w:r>
        <w:rPr>
          <w:lang w:eastAsia="lt-LT"/>
        </w:rPr>
        <w:t xml:space="preserve">teritorijų planavimo dokumentų </w:t>
      </w:r>
      <w:r>
        <w:t xml:space="preserve">sprendiniais, kitais šias sritis nagrinėjančiais dokumentais (studijomis, moksliniais tyrimais, architektūros mokslo teorijomis ir kt.). </w:t>
      </w:r>
    </w:p>
    <w:p w:rsidR="00A90E20" w:rsidRDefault="00A90E20">
      <w:pPr>
        <w:tabs>
          <w:tab w:val="left" w:pos="567"/>
        </w:tabs>
        <w:ind w:firstLine="567"/>
        <w:jc w:val="both"/>
        <w:rPr>
          <w:szCs w:val="24"/>
        </w:rPr>
      </w:pPr>
    </w:p>
    <w:p w:rsidR="00A90E20" w:rsidRDefault="00A90E20">
      <w:pPr>
        <w:tabs>
          <w:tab w:val="left" w:pos="567"/>
        </w:tabs>
        <w:ind w:firstLine="567"/>
        <w:jc w:val="both"/>
        <w:rPr>
          <w:szCs w:val="24"/>
        </w:rPr>
      </w:pPr>
    </w:p>
    <w:p w:rsidR="00A90E20" w:rsidRDefault="006803FC">
      <w:pPr>
        <w:jc w:val="center"/>
        <w:rPr>
          <w:szCs w:val="24"/>
        </w:rPr>
      </w:pPr>
      <w:r>
        <w:rPr>
          <w:szCs w:val="24"/>
        </w:rPr>
        <w:t>__________________</w:t>
      </w:r>
    </w:p>
    <w:p w:rsidR="00A90E20" w:rsidRDefault="00A90E20">
      <w:pPr>
        <w:rPr>
          <w:szCs w:val="24"/>
        </w:rPr>
      </w:pPr>
    </w:p>
    <w:sectPr w:rsidR="00A90E20">
      <w:headerReference w:type="default" r:id="rId6"/>
      <w:headerReference w:type="first" r:id="rId7"/>
      <w:footerReference w:type="first" r:id="rId8"/>
      <w:pgSz w:w="11907" w:h="16840"/>
      <w:pgMar w:top="1134" w:right="851" w:bottom="709" w:left="1701" w:header="709" w:footer="709" w:gutter="0"/>
      <w:pgNumType w:start="1"/>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3FC" w:rsidRDefault="006803FC">
      <w:r>
        <w:separator/>
      </w:r>
    </w:p>
  </w:endnote>
  <w:endnote w:type="continuationSeparator" w:id="0">
    <w:p w:rsidR="006803FC" w:rsidRDefault="0068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DejaVu Sans">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20" w:rsidRDefault="00A90E2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3FC" w:rsidRDefault="006803FC">
      <w:r>
        <w:separator/>
      </w:r>
    </w:p>
  </w:footnote>
  <w:footnote w:type="continuationSeparator" w:id="0">
    <w:p w:rsidR="006803FC" w:rsidRDefault="0068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20" w:rsidRDefault="006803FC">
    <w:pPr>
      <w:tabs>
        <w:tab w:val="center" w:pos="4819"/>
        <w:tab w:val="right" w:pos="9638"/>
      </w:tabs>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20" w:rsidRDefault="00A90E2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90E20"/>
    <w:rsid w:val="000A462F"/>
    <w:rsid w:val="003046A2"/>
    <w:rsid w:val="006803FC"/>
    <w:rsid w:val="007C55CF"/>
    <w:rsid w:val="00A90E2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5E836-75C3-42D4-9B24-292963ED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Pr>
      <w:color w:val="808080"/>
    </w:rPr>
  </w:style>
  <w:style w:type="character" w:customStyle="1" w:styleId="PoratDiagrama">
    <w:name w:val="Poraštė Diagrama"/>
    <w:basedOn w:val="Numatytasispastraiposriftas"/>
    <w:qFormat/>
  </w:style>
  <w:style w:type="paragraph" w:styleId="Porat">
    <w:name w:val="footer"/>
    <w:basedOn w:val="HeaderandFooter"/>
  </w:style>
  <w:style w:type="paragraph" w:styleId="Sraopastraipa">
    <w:name w:val="List Paragraph"/>
    <w:basedOn w:val="prastasis"/>
    <w:qFormat/>
    <w:pPr>
      <w:ind w:left="720"/>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3953</Words>
  <Characters>2254</Characters>
  <Application>Microsoft Office Word</Application>
  <DocSecurity>0</DocSecurity>
  <Lines>18</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F.</cp:lastModifiedBy>
  <cp:revision>3</cp:revision>
  <dcterms:created xsi:type="dcterms:W3CDTF">2025-09-05T08:15:00Z</dcterms:created>
  <dcterms:modified xsi:type="dcterms:W3CDTF">2025-10-02T13:48:00Z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2025-07-23T12:05:00Z</dcterms:created>
  <dc:creator>Dalia Dijokienė</dc:creator>
  <dc:description/>
  <dc:language>en-US</dc:language>
  <cp:lastModifiedBy>Tomas Furmonavičius</cp:lastModifiedBy>
  <cp:lastPrinted>2020-08-03T22:22:00Z</cp:lastPrinted>
  <dcterms:modified xsi:type="dcterms:W3CDTF">2025-07-23T12:05:00Z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0x010100B703BC68819B974FB5DE8F08A3A71052</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y fmtid="{D5CDD505-2E9C-101B-9397-08002B2CF9AE}" pid="7" name="_activity">
    <vt:lpwstr>{"FileActivityType":"9","FileActivityTimeStamp":"2023-10-09T13:14:22.140Z","FileActivityUsersOnPage":[{"DisplayName":"Sandra Jeglinskė","Id":"sandra.jeglinske@am.lt"},{"DisplayName":"Algimantė Treinienė","Id":"algimante.treiniene@am.lt"},{"DisplayName":"E</vt:lpwstr>
  </property>
</Properties>
</file>